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532F0" w14:textId="77777777" w:rsidR="00F0537D" w:rsidRPr="00102A8F" w:rsidRDefault="00000000">
      <w:pPr>
        <w:pStyle w:val="Balk1"/>
        <w:spacing w:after="200"/>
      </w:pPr>
      <w:r w:rsidRPr="00102A8F">
        <w:t>Yargıtay, 6. Ceza Dairesi, E. 2021/8893, K. 2021/10385, T. 01.06.2021</w:t>
      </w:r>
    </w:p>
    <w:p w14:paraId="76B00091" w14:textId="77777777" w:rsidR="00F0537D" w:rsidRPr="00102A8F" w:rsidRDefault="00000000">
      <w:pPr>
        <w:spacing w:after="100"/>
      </w:pPr>
      <w:r w:rsidRPr="00102A8F">
        <w:rPr>
          <w:color w:val="4A4A4A"/>
        </w:rPr>
        <w:t>Daire: 6. Ceza Dairesi</w:t>
      </w:r>
    </w:p>
    <w:p w14:paraId="5912C3A5" w14:textId="77777777" w:rsidR="00F0537D" w:rsidRPr="00102A8F" w:rsidRDefault="00000000">
      <w:pPr>
        <w:spacing w:after="100"/>
      </w:pPr>
      <w:r w:rsidRPr="00102A8F">
        <w:rPr>
          <w:color w:val="4A4A4A"/>
        </w:rPr>
        <w:t>Esas No: 2021/8893</w:t>
      </w:r>
    </w:p>
    <w:p w14:paraId="3FE86C48" w14:textId="77777777" w:rsidR="00F0537D" w:rsidRPr="00102A8F" w:rsidRDefault="00000000">
      <w:pPr>
        <w:spacing w:after="100"/>
      </w:pPr>
      <w:r w:rsidRPr="00102A8F">
        <w:rPr>
          <w:color w:val="4A4A4A"/>
        </w:rPr>
        <w:t>Karar No: 2021/10385</w:t>
      </w:r>
    </w:p>
    <w:p w14:paraId="528EC9BE" w14:textId="77777777" w:rsidR="00F0537D" w:rsidRPr="00102A8F" w:rsidRDefault="00000000">
      <w:pPr>
        <w:spacing w:after="100"/>
      </w:pPr>
      <w:r w:rsidRPr="00102A8F">
        <w:rPr>
          <w:color w:val="4A4A4A"/>
        </w:rPr>
        <w:t>Karar Tarihi: 01.06.2021</w:t>
      </w:r>
    </w:p>
    <w:p w14:paraId="5FBCD5BA" w14:textId="77777777" w:rsidR="00102A8F" w:rsidRPr="00102A8F" w:rsidRDefault="00102A8F">
      <w:pPr>
        <w:spacing w:after="200" w:line="360" w:lineRule="auto"/>
        <w:jc w:val="both"/>
      </w:pPr>
    </w:p>
    <w:p w14:paraId="4DF1D590" w14:textId="55314F52" w:rsidR="00F0537D" w:rsidRPr="00102A8F" w:rsidRDefault="00000000">
      <w:pPr>
        <w:spacing w:after="200" w:line="360" w:lineRule="auto"/>
        <w:jc w:val="both"/>
      </w:pPr>
      <w:r w:rsidRPr="00102A8F">
        <w:rPr>
          <w:rFonts w:eastAsia="Calibri"/>
          <w:sz w:val="22"/>
          <w:szCs w:val="22"/>
        </w:rPr>
        <w:t xml:space="preserve">6. Ceza Dairesi         2021/8893 </w:t>
      </w:r>
      <w:proofErr w:type="gramStart"/>
      <w:r w:rsidRPr="00102A8F">
        <w:rPr>
          <w:rFonts w:eastAsia="Calibri"/>
          <w:sz w:val="22"/>
          <w:szCs w:val="22"/>
        </w:rPr>
        <w:t>E.  ,</w:t>
      </w:r>
      <w:proofErr w:type="gramEnd"/>
      <w:r w:rsidRPr="00102A8F">
        <w:rPr>
          <w:rFonts w:eastAsia="Calibri"/>
          <w:sz w:val="22"/>
          <w:szCs w:val="22"/>
        </w:rPr>
        <w:t xml:space="preserve">  2021/10385 K.</w:t>
      </w:r>
    </w:p>
    <w:p w14:paraId="519AC75C" w14:textId="77777777" w:rsidR="00F0537D" w:rsidRPr="00102A8F" w:rsidRDefault="00000000">
      <w:pPr>
        <w:spacing w:after="200" w:line="360" w:lineRule="auto"/>
        <w:jc w:val="both"/>
      </w:pPr>
      <w:proofErr w:type="gramStart"/>
      <w:r w:rsidRPr="00102A8F">
        <w:rPr>
          <w:rFonts w:eastAsia="Calibri"/>
          <w:sz w:val="22"/>
          <w:szCs w:val="22"/>
        </w:rPr>
        <w:t>MAHKEMESİ :Asliye</w:t>
      </w:r>
      <w:proofErr w:type="gramEnd"/>
      <w:r w:rsidRPr="00102A8F">
        <w:rPr>
          <w:rFonts w:eastAsia="Calibri"/>
          <w:sz w:val="22"/>
          <w:szCs w:val="22"/>
        </w:rPr>
        <w:t xml:space="preserve"> Ceza Mahkemesi</w:t>
      </w:r>
    </w:p>
    <w:p w14:paraId="39DEEA4A" w14:textId="77777777" w:rsidR="00F0537D" w:rsidRPr="00102A8F" w:rsidRDefault="00000000">
      <w:pPr>
        <w:spacing w:after="200" w:line="360" w:lineRule="auto"/>
        <w:jc w:val="both"/>
      </w:pPr>
      <w:r w:rsidRPr="00102A8F">
        <w:rPr>
          <w:rFonts w:eastAsia="Calibri"/>
          <w:sz w:val="22"/>
          <w:szCs w:val="22"/>
        </w:rPr>
        <w:t xml:space="preserve">SUÇLAR: Hırsızlık, </w:t>
      </w:r>
      <w:proofErr w:type="gramStart"/>
      <w:r w:rsidRPr="00102A8F">
        <w:rPr>
          <w:rFonts w:eastAsia="Calibri"/>
          <w:sz w:val="22"/>
          <w:szCs w:val="22"/>
        </w:rPr>
        <w:t>resmi</w:t>
      </w:r>
      <w:proofErr w:type="gramEnd"/>
      <w:r w:rsidRPr="00102A8F">
        <w:rPr>
          <w:rFonts w:eastAsia="Calibri"/>
          <w:sz w:val="22"/>
          <w:szCs w:val="22"/>
        </w:rPr>
        <w:t xml:space="preserve"> belgede sahtecilik, iftira</w:t>
      </w:r>
    </w:p>
    <w:p w14:paraId="37CEF8DE" w14:textId="77777777" w:rsidR="00F0537D" w:rsidRPr="00102A8F" w:rsidRDefault="00000000">
      <w:pPr>
        <w:spacing w:after="200" w:line="360" w:lineRule="auto"/>
        <w:jc w:val="both"/>
      </w:pPr>
      <w:r w:rsidRPr="00102A8F">
        <w:rPr>
          <w:rFonts w:eastAsia="Calibri"/>
          <w:sz w:val="22"/>
          <w:szCs w:val="22"/>
        </w:rPr>
        <w:t xml:space="preserve">HÜKÜMLER: </w:t>
      </w:r>
      <w:proofErr w:type="gramStart"/>
      <w:r w:rsidRPr="00102A8F">
        <w:rPr>
          <w:rFonts w:eastAsia="Calibri"/>
          <w:sz w:val="22"/>
          <w:szCs w:val="22"/>
        </w:rPr>
        <w:t>Mahkumiyet</w:t>
      </w:r>
      <w:proofErr w:type="gramEnd"/>
    </w:p>
    <w:p w14:paraId="1A2E2A47" w14:textId="77777777" w:rsidR="00F0537D" w:rsidRPr="00102A8F" w:rsidRDefault="00000000">
      <w:pPr>
        <w:spacing w:after="200" w:line="360" w:lineRule="auto"/>
        <w:jc w:val="both"/>
      </w:pPr>
      <w:r w:rsidRPr="00102A8F">
        <w:rPr>
          <w:rFonts w:eastAsia="Calibri"/>
          <w:sz w:val="22"/>
          <w:szCs w:val="22"/>
        </w:rPr>
        <w:t>Mahalli mahkemece verilen hükümler temyiz edilmekle dosya incelenerek, gereği düşünüldü:</w:t>
      </w:r>
    </w:p>
    <w:p w14:paraId="7818A029" w14:textId="77777777" w:rsidR="00F0537D" w:rsidRPr="00102A8F" w:rsidRDefault="00000000">
      <w:pPr>
        <w:spacing w:after="200" w:line="360" w:lineRule="auto"/>
        <w:jc w:val="both"/>
      </w:pPr>
      <w:r w:rsidRPr="00102A8F">
        <w:rPr>
          <w:rFonts w:eastAsia="Calibri"/>
          <w:sz w:val="22"/>
          <w:szCs w:val="22"/>
        </w:rPr>
        <w:t>1-Sanık ...’</w:t>
      </w:r>
      <w:proofErr w:type="spellStart"/>
      <w:r w:rsidRPr="00102A8F">
        <w:rPr>
          <w:rFonts w:eastAsia="Calibri"/>
          <w:sz w:val="22"/>
          <w:szCs w:val="22"/>
        </w:rPr>
        <w:t>nun</w:t>
      </w:r>
      <w:proofErr w:type="spellEnd"/>
      <w:r w:rsidRPr="00102A8F">
        <w:rPr>
          <w:rFonts w:eastAsia="Calibri"/>
          <w:sz w:val="22"/>
          <w:szCs w:val="22"/>
        </w:rPr>
        <w:t xml:space="preserve"> temyiz isteminin incelenmesinde;</w:t>
      </w:r>
    </w:p>
    <w:p w14:paraId="63C531D7" w14:textId="77777777" w:rsidR="00F0537D" w:rsidRPr="00102A8F" w:rsidRDefault="00000000">
      <w:pPr>
        <w:spacing w:after="200" w:line="360" w:lineRule="auto"/>
        <w:jc w:val="both"/>
      </w:pPr>
      <w:r w:rsidRPr="00102A8F">
        <w:rPr>
          <w:rFonts w:eastAsia="Calibri"/>
          <w:sz w:val="22"/>
          <w:szCs w:val="22"/>
        </w:rPr>
        <w:t>Yokluğunda verilen 29.12.2015 tarihli hükmün, 25.02.2016 tarihinde usulüne uygun tebliğ edildiği, sanığın kararı yasal süresi içerisinde temyiz etmediğinin anlaşılması karşısında; 25.02.2016 tarihinde tebliğ edilen hükmü, 1412 sayılı CMUK'un 310/1. maddesinde öngörülen 7 günlük yasal süreden sonra 08.05.2017 tarihinde temyiz eden sanığın temyiz isteminin 5320 sayılı Yasa'nın 8/1. maddesi yollamasıyla 1412 sayılı CMUK'un 317. maddesi uyarınca tebliğnameye uygun olarak REDDİNE,</w:t>
      </w:r>
    </w:p>
    <w:p w14:paraId="1F15E2FE" w14:textId="77777777" w:rsidR="00F0537D" w:rsidRPr="00102A8F" w:rsidRDefault="00000000">
      <w:pPr>
        <w:spacing w:after="200" w:line="360" w:lineRule="auto"/>
        <w:jc w:val="both"/>
      </w:pPr>
      <w:r w:rsidRPr="00102A8F">
        <w:rPr>
          <w:rFonts w:eastAsia="Calibri"/>
          <w:sz w:val="22"/>
          <w:szCs w:val="22"/>
        </w:rPr>
        <w:t>2-Sanıklar ..., ... ve ... hakkında katılan ...’e sanık ... hakkında müşteki ...’e karşı hırsızlık suçundan verilen kararların temyiz istemlerinin incelenmesinde;</w:t>
      </w:r>
    </w:p>
    <w:p w14:paraId="25B1F49B" w14:textId="77777777" w:rsidR="00F0537D" w:rsidRPr="00102A8F" w:rsidRDefault="00000000">
      <w:pPr>
        <w:spacing w:after="200" w:line="360" w:lineRule="auto"/>
        <w:jc w:val="both"/>
      </w:pPr>
      <w:r w:rsidRPr="00102A8F">
        <w:rPr>
          <w:rFonts w:eastAsia="Calibri"/>
          <w:sz w:val="22"/>
          <w:szCs w:val="22"/>
        </w:rPr>
        <w:t xml:space="preserve">Dosya ve duruşma tutanakları içeriğine, toplanıp karar yerinde incelenerek tartışılan hukuken geçerli ve elverişli kanıtlara, gerekçeye ve </w:t>
      </w:r>
      <w:proofErr w:type="gramStart"/>
      <w:r w:rsidRPr="00102A8F">
        <w:rPr>
          <w:rFonts w:eastAsia="Calibri"/>
          <w:sz w:val="22"/>
          <w:szCs w:val="22"/>
        </w:rPr>
        <w:t>hakimin</w:t>
      </w:r>
      <w:proofErr w:type="gramEnd"/>
      <w:r w:rsidRPr="00102A8F">
        <w:rPr>
          <w:rFonts w:eastAsia="Calibri"/>
          <w:sz w:val="22"/>
          <w:szCs w:val="22"/>
        </w:rPr>
        <w:t xml:space="preserve"> takdirine göre; suçların sanıklar tarafından işlendiğini kabulde usul ve yasaya aykırılık bulunmadığı anlaşılmış, diğer temyiz itirazları da yerinde görülmemiştir.</w:t>
      </w:r>
    </w:p>
    <w:p w14:paraId="370198FA" w14:textId="77777777" w:rsidR="00F0537D" w:rsidRPr="00102A8F" w:rsidRDefault="00000000">
      <w:pPr>
        <w:spacing w:after="200" w:line="360" w:lineRule="auto"/>
        <w:jc w:val="both"/>
      </w:pPr>
      <w:r w:rsidRPr="00102A8F">
        <w:rPr>
          <w:rFonts w:eastAsia="Calibri"/>
          <w:sz w:val="22"/>
          <w:szCs w:val="22"/>
        </w:rPr>
        <w:t>Ancak,</w:t>
      </w:r>
    </w:p>
    <w:p w14:paraId="53569146" w14:textId="77777777" w:rsidR="00F0537D" w:rsidRPr="00102A8F" w:rsidRDefault="00000000">
      <w:pPr>
        <w:spacing w:after="200" w:line="360" w:lineRule="auto"/>
        <w:jc w:val="both"/>
      </w:pPr>
      <w:proofErr w:type="gramStart"/>
      <w:r w:rsidRPr="00102A8F">
        <w:rPr>
          <w:rFonts w:eastAsia="Calibri"/>
          <w:sz w:val="22"/>
          <w:szCs w:val="22"/>
        </w:rPr>
        <w:t>a</w:t>
      </w:r>
      <w:proofErr w:type="gramEnd"/>
      <w:r w:rsidRPr="00102A8F">
        <w:rPr>
          <w:rFonts w:eastAsia="Calibri"/>
          <w:sz w:val="22"/>
          <w:szCs w:val="22"/>
        </w:rPr>
        <w:t>-Sanıklar ..., ... ve ...'</w:t>
      </w:r>
      <w:proofErr w:type="spellStart"/>
      <w:r w:rsidRPr="00102A8F">
        <w:rPr>
          <w:rFonts w:eastAsia="Calibri"/>
          <w:sz w:val="22"/>
          <w:szCs w:val="22"/>
        </w:rPr>
        <w:t>ın</w:t>
      </w:r>
      <w:proofErr w:type="spellEnd"/>
      <w:r w:rsidRPr="00102A8F">
        <w:rPr>
          <w:rFonts w:eastAsia="Calibri"/>
          <w:sz w:val="22"/>
          <w:szCs w:val="22"/>
        </w:rPr>
        <w:t xml:space="preserve"> müşteki ...'e ait Karabük Kastamonu yolu üzeri Ali Sağlık Merkezi yanındaki inşaatta bulunan 16 adet </w:t>
      </w:r>
      <w:proofErr w:type="spellStart"/>
      <w:r w:rsidRPr="00102A8F">
        <w:rPr>
          <w:rFonts w:eastAsia="Calibri"/>
          <w:sz w:val="22"/>
          <w:szCs w:val="22"/>
        </w:rPr>
        <w:t>playwood</w:t>
      </w:r>
      <w:proofErr w:type="spellEnd"/>
      <w:r w:rsidRPr="00102A8F">
        <w:rPr>
          <w:rFonts w:eastAsia="Calibri"/>
          <w:sz w:val="22"/>
          <w:szCs w:val="22"/>
        </w:rPr>
        <w:t xml:space="preserve"> inşaat kalıbını çalmak şeklinde gerçekleşen eylemleri nedeniyle sanıklar hakkında 5237 sayılı TCK'nın 142/1-e maddesi yerine yazılı şekilde anılan Yasanın 141/1. maddesi ile uygulama yapılması,</w:t>
      </w:r>
    </w:p>
    <w:p w14:paraId="3B101E32" w14:textId="77777777" w:rsidR="00F0537D" w:rsidRPr="00102A8F" w:rsidRDefault="00000000">
      <w:pPr>
        <w:spacing w:after="200" w:line="360" w:lineRule="auto"/>
        <w:jc w:val="both"/>
      </w:pPr>
      <w:proofErr w:type="gramStart"/>
      <w:r w:rsidRPr="00102A8F">
        <w:rPr>
          <w:rFonts w:eastAsia="Calibri"/>
          <w:sz w:val="22"/>
          <w:szCs w:val="22"/>
        </w:rPr>
        <w:lastRenderedPageBreak/>
        <w:t>b</w:t>
      </w:r>
      <w:proofErr w:type="gramEnd"/>
      <w:r w:rsidRPr="00102A8F">
        <w:rPr>
          <w:rFonts w:eastAsia="Calibri"/>
          <w:sz w:val="22"/>
          <w:szCs w:val="22"/>
        </w:rPr>
        <w:t>-Sanık ...'</w:t>
      </w:r>
      <w:proofErr w:type="spellStart"/>
      <w:r w:rsidRPr="00102A8F">
        <w:rPr>
          <w:rFonts w:eastAsia="Calibri"/>
          <w:sz w:val="22"/>
          <w:szCs w:val="22"/>
        </w:rPr>
        <w:t>ın</w:t>
      </w:r>
      <w:proofErr w:type="spellEnd"/>
      <w:r w:rsidRPr="00102A8F">
        <w:rPr>
          <w:rFonts w:eastAsia="Calibri"/>
          <w:sz w:val="22"/>
          <w:szCs w:val="22"/>
        </w:rPr>
        <w:t xml:space="preserve"> müşteki ...'e ait Yalova Çiftlikköy Taşköprü beldesindeki spor kompleksi inşaatından, 61 adet teleskobik direği çalmak şeklinde gerçekleşen eylemi nedeniyle sanık hakkında 5237 sayılı TCK'nın 142/1-e maddesi yerine yazılı şekilde anılan Yasanın 141/1. maddesi ile uygulama yapılması,</w:t>
      </w:r>
    </w:p>
    <w:p w14:paraId="74632FFD" w14:textId="77777777" w:rsidR="00F0537D" w:rsidRPr="00102A8F" w:rsidRDefault="00000000">
      <w:pPr>
        <w:spacing w:after="200" w:line="360" w:lineRule="auto"/>
        <w:jc w:val="both"/>
      </w:pPr>
      <w:r w:rsidRPr="00102A8F">
        <w:rPr>
          <w:rFonts w:eastAsia="Calibri"/>
          <w:sz w:val="22"/>
          <w:szCs w:val="22"/>
        </w:rPr>
        <w:t xml:space="preserve">3-Sanık ... hakkında </w:t>
      </w:r>
      <w:proofErr w:type="gramStart"/>
      <w:r w:rsidRPr="00102A8F">
        <w:rPr>
          <w:rFonts w:eastAsia="Calibri"/>
          <w:sz w:val="22"/>
          <w:szCs w:val="22"/>
        </w:rPr>
        <w:t>resmi</w:t>
      </w:r>
      <w:proofErr w:type="gramEnd"/>
      <w:r w:rsidRPr="00102A8F">
        <w:rPr>
          <w:rFonts w:eastAsia="Calibri"/>
          <w:sz w:val="22"/>
          <w:szCs w:val="22"/>
        </w:rPr>
        <w:t xml:space="preserve"> belgede sahtecilik ve iftira suçlarından verilen kararlara karşı temyiz istemlerinin incelenmesinde,</w:t>
      </w:r>
    </w:p>
    <w:p w14:paraId="1C34F639" w14:textId="77777777" w:rsidR="00F0537D" w:rsidRPr="00102A8F" w:rsidRDefault="00000000">
      <w:pPr>
        <w:spacing w:after="200" w:line="360" w:lineRule="auto"/>
        <w:jc w:val="both"/>
      </w:pPr>
      <w:proofErr w:type="gramStart"/>
      <w:r w:rsidRPr="00102A8F">
        <w:rPr>
          <w:rFonts w:eastAsia="Calibri"/>
          <w:sz w:val="22"/>
          <w:szCs w:val="22"/>
        </w:rPr>
        <w:t>a)Belgede</w:t>
      </w:r>
      <w:proofErr w:type="gramEnd"/>
      <w:r w:rsidRPr="00102A8F">
        <w:rPr>
          <w:rFonts w:eastAsia="Calibri"/>
          <w:sz w:val="22"/>
          <w:szCs w:val="22"/>
        </w:rPr>
        <w:t xml:space="preserve"> sahtecilik suçlarında, aldatma yeteneğinin bulunup bulunmadığının takdir ve tayini </w:t>
      </w:r>
      <w:proofErr w:type="gramStart"/>
      <w:r w:rsidRPr="00102A8F">
        <w:rPr>
          <w:rFonts w:eastAsia="Calibri"/>
          <w:sz w:val="22"/>
          <w:szCs w:val="22"/>
        </w:rPr>
        <w:t>hakime</w:t>
      </w:r>
      <w:proofErr w:type="gramEnd"/>
      <w:r w:rsidRPr="00102A8F">
        <w:rPr>
          <w:rFonts w:eastAsia="Calibri"/>
          <w:sz w:val="22"/>
          <w:szCs w:val="22"/>
        </w:rPr>
        <w:t xml:space="preserve"> ait olup, suça konu belge asılları duruşmada incelenmek suretiyle özellikleri duruşma tutanağına yazıldıktan sonra aldatma yeteneğinin bulunup bulunmadığı tespit edilip, denetime </w:t>
      </w:r>
      <w:proofErr w:type="gramStart"/>
      <w:r w:rsidRPr="00102A8F">
        <w:rPr>
          <w:rFonts w:eastAsia="Calibri"/>
          <w:sz w:val="22"/>
          <w:szCs w:val="22"/>
        </w:rPr>
        <w:t>imkan</w:t>
      </w:r>
      <w:proofErr w:type="gramEnd"/>
      <w:r w:rsidRPr="00102A8F">
        <w:rPr>
          <w:rFonts w:eastAsia="Calibri"/>
          <w:sz w:val="22"/>
          <w:szCs w:val="22"/>
        </w:rPr>
        <w:t xml:space="preserve"> verecek şekilde dosya içerisine konulması gerektiği gözetilmeden iğfal kabiliyetinin ne şekilde gerçekleştiği de gerekçeli kararda tartışılmaksızın sanığın mahkumiyetine karar verilmesi,</w:t>
      </w:r>
    </w:p>
    <w:p w14:paraId="36D69F2E" w14:textId="77777777" w:rsidR="00F0537D" w:rsidRPr="00102A8F" w:rsidRDefault="00000000">
      <w:pPr>
        <w:spacing w:after="200" w:line="360" w:lineRule="auto"/>
        <w:jc w:val="both"/>
      </w:pPr>
      <w:r w:rsidRPr="00102A8F">
        <w:rPr>
          <w:rFonts w:eastAsia="Calibri"/>
          <w:sz w:val="22"/>
          <w:szCs w:val="22"/>
        </w:rPr>
        <w:t>b) Temyize konu olmayan başka bir olay nedeniyle ... plakalı araçta yapılan arama neticesinde, sanık adına düzenlenmiş nüfus cüzdanı ile ağabeyi adına düzenlenmiş ve üzerine sanığın resminin yapıştırılmış nüfus cüzdanının bulunduğu, bir süre sonra yakalanan sanığın gerçek kimlik bilgileriyle ifadesinin alınarak işlemlerinin yapıldığının anlaşılması karşısında, sanığın hangi eylemi nedeniyle iftira suçunu işlediği ve delillerinin nelerden ibaret olduğu tartışılmaksızın, gerekçesiz şekilde mahkumiyetine karar verilmesi,</w:t>
      </w:r>
    </w:p>
    <w:p w14:paraId="62A58392" w14:textId="77777777" w:rsidR="00F0537D" w:rsidRPr="00102A8F" w:rsidRDefault="00000000">
      <w:pPr>
        <w:spacing w:after="200" w:line="360" w:lineRule="auto"/>
        <w:jc w:val="both"/>
      </w:pPr>
      <w:r w:rsidRPr="00102A8F">
        <w:rPr>
          <w:rFonts w:eastAsia="Calibri"/>
          <w:sz w:val="22"/>
          <w:szCs w:val="22"/>
        </w:rPr>
        <w:t xml:space="preserve">Bozmayı gerektirmiş, sanıkların temyiz istemleri bu itibarla yerinde görülmüş olduğundan, hükümlerin açıklanan nedenle tebliğnameye kısmen uygun olarak BOZULMASINA, </w:t>
      </w:r>
      <w:proofErr w:type="spellStart"/>
      <w:r w:rsidRPr="00102A8F">
        <w:rPr>
          <w:rFonts w:eastAsia="Calibri"/>
          <w:sz w:val="22"/>
          <w:szCs w:val="22"/>
        </w:rPr>
        <w:t>CMUK'nun</w:t>
      </w:r>
      <w:proofErr w:type="spellEnd"/>
      <w:r w:rsidRPr="00102A8F">
        <w:rPr>
          <w:rFonts w:eastAsia="Calibri"/>
          <w:sz w:val="22"/>
          <w:szCs w:val="22"/>
        </w:rPr>
        <w:t xml:space="preserve"> 326/son maddesi uyarınca sanıkların ceza miktarı yönünden kazanılmış haklarının korunmasına 01.06.2021 gününde oybirliğiyle karar verildi.</w:t>
      </w:r>
    </w:p>
    <w:sectPr w:rsidR="00F0537D" w:rsidRPr="00102A8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BA165" w14:textId="77777777" w:rsidR="00DF1C6C" w:rsidRDefault="00DF1C6C">
      <w:r>
        <w:separator/>
      </w:r>
    </w:p>
  </w:endnote>
  <w:endnote w:type="continuationSeparator" w:id="0">
    <w:p w14:paraId="315FDF8B" w14:textId="77777777" w:rsidR="00DF1C6C" w:rsidRDefault="00DF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F334" w14:textId="77777777" w:rsidR="00F0537D" w:rsidRDefault="00000000">
    <w:pPr>
      <w:jc w:val="center"/>
    </w:pPr>
    <w:r>
      <w:rPr>
        <w:color w:val="6B7280"/>
        <w:sz w:val="18"/>
        <w:szCs w:val="18"/>
      </w:rPr>
      <w:t xml:space="preserve">Sayfa </w:t>
    </w:r>
    <w:r>
      <w:rPr>
        <w:color w:val="6B7280"/>
        <w:sz w:val="18"/>
        <w:szCs w:val="18"/>
      </w:rPr>
      <w:fldChar w:fldCharType="begin"/>
    </w:r>
    <w:r>
      <w:rPr>
        <w:color w:val="6B7280"/>
        <w:sz w:val="18"/>
        <w:szCs w:val="18"/>
      </w:rPr>
      <w:instrText>PAGE</w:instrText>
    </w:r>
    <w:r>
      <w:rPr>
        <w:color w:val="6B7280"/>
        <w:sz w:val="18"/>
        <w:szCs w:val="18"/>
      </w:rPr>
      <w:fldChar w:fldCharType="separate"/>
    </w:r>
    <w:r w:rsidR="00102A8F">
      <w:rPr>
        <w:noProof/>
        <w:color w:val="6B7280"/>
        <w:sz w:val="18"/>
        <w:szCs w:val="18"/>
      </w:rPr>
      <w:t>1</w:t>
    </w:r>
    <w:r>
      <w:rPr>
        <w:color w:val="6B7280"/>
        <w:sz w:val="18"/>
        <w:szCs w:val="18"/>
      </w:rPr>
      <w:fldChar w:fldCharType="end"/>
    </w:r>
    <w:r>
      <w:rPr>
        <w:color w:val="6B7280"/>
        <w:sz w:val="18"/>
        <w:szCs w:val="18"/>
      </w:rPr>
      <w:t xml:space="preserve"> / </w:t>
    </w:r>
    <w:r>
      <w:rPr>
        <w:color w:val="6B7280"/>
        <w:sz w:val="18"/>
        <w:szCs w:val="18"/>
      </w:rPr>
      <w:fldChar w:fldCharType="begin"/>
    </w:r>
    <w:r>
      <w:rPr>
        <w:color w:val="6B7280"/>
        <w:sz w:val="18"/>
        <w:szCs w:val="18"/>
      </w:rPr>
      <w:instrText>NUMPAGES</w:instrText>
    </w:r>
    <w:r>
      <w:rPr>
        <w:color w:val="6B7280"/>
        <w:sz w:val="18"/>
        <w:szCs w:val="18"/>
      </w:rPr>
      <w:fldChar w:fldCharType="separate"/>
    </w:r>
    <w:r w:rsidR="00102A8F">
      <w:rPr>
        <w:noProof/>
        <w:color w:val="6B7280"/>
        <w:sz w:val="18"/>
        <w:szCs w:val="18"/>
      </w:rPr>
      <w:t>2</w:t>
    </w:r>
    <w:r>
      <w:rPr>
        <w:color w:val="6B72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64660" w14:textId="77777777" w:rsidR="00DF1C6C" w:rsidRDefault="00DF1C6C">
      <w:r>
        <w:separator/>
      </w:r>
    </w:p>
  </w:footnote>
  <w:footnote w:type="continuationSeparator" w:id="0">
    <w:p w14:paraId="55566DEF" w14:textId="77777777" w:rsidR="00DF1C6C" w:rsidRDefault="00DF1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9EB3" w14:textId="671041EB" w:rsidR="00F0537D" w:rsidRDefault="00102A8F">
    <w:pPr>
      <w:jc w:val="center"/>
    </w:pPr>
    <w:r>
      <w:rPr>
        <w:color w:val="6B7280"/>
        <w:sz w:val="18"/>
        <w:szCs w:val="18"/>
      </w:rPr>
      <w:t>tkavukatlik.com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509B9"/>
    <w:multiLevelType w:val="hybridMultilevel"/>
    <w:tmpl w:val="AE3A8788"/>
    <w:lvl w:ilvl="0" w:tplc="0AB879C6">
      <w:start w:val="1"/>
      <w:numFmt w:val="bullet"/>
      <w:lvlText w:val="●"/>
      <w:lvlJc w:val="left"/>
      <w:pPr>
        <w:ind w:left="720" w:hanging="360"/>
      </w:pPr>
    </w:lvl>
    <w:lvl w:ilvl="1" w:tplc="220A2B76">
      <w:start w:val="1"/>
      <w:numFmt w:val="bullet"/>
      <w:lvlText w:val="○"/>
      <w:lvlJc w:val="left"/>
      <w:pPr>
        <w:ind w:left="1440" w:hanging="360"/>
      </w:pPr>
    </w:lvl>
    <w:lvl w:ilvl="2" w:tplc="93EE8692">
      <w:start w:val="1"/>
      <w:numFmt w:val="bullet"/>
      <w:lvlText w:val="■"/>
      <w:lvlJc w:val="left"/>
      <w:pPr>
        <w:ind w:left="2160" w:hanging="360"/>
      </w:pPr>
    </w:lvl>
    <w:lvl w:ilvl="3" w:tplc="240AD922">
      <w:start w:val="1"/>
      <w:numFmt w:val="bullet"/>
      <w:lvlText w:val="●"/>
      <w:lvlJc w:val="left"/>
      <w:pPr>
        <w:ind w:left="2880" w:hanging="360"/>
      </w:pPr>
    </w:lvl>
    <w:lvl w:ilvl="4" w:tplc="9E4A28F4">
      <w:start w:val="1"/>
      <w:numFmt w:val="bullet"/>
      <w:lvlText w:val="○"/>
      <w:lvlJc w:val="left"/>
      <w:pPr>
        <w:ind w:left="3600" w:hanging="360"/>
      </w:pPr>
    </w:lvl>
    <w:lvl w:ilvl="5" w:tplc="92A2C4CE">
      <w:start w:val="1"/>
      <w:numFmt w:val="bullet"/>
      <w:lvlText w:val="■"/>
      <w:lvlJc w:val="left"/>
      <w:pPr>
        <w:ind w:left="4320" w:hanging="360"/>
      </w:pPr>
    </w:lvl>
    <w:lvl w:ilvl="6" w:tplc="A4C6B69E">
      <w:start w:val="1"/>
      <w:numFmt w:val="bullet"/>
      <w:lvlText w:val="●"/>
      <w:lvlJc w:val="left"/>
      <w:pPr>
        <w:ind w:left="5040" w:hanging="360"/>
      </w:pPr>
    </w:lvl>
    <w:lvl w:ilvl="7" w:tplc="84AE6C00">
      <w:start w:val="1"/>
      <w:numFmt w:val="bullet"/>
      <w:lvlText w:val="●"/>
      <w:lvlJc w:val="left"/>
      <w:pPr>
        <w:ind w:left="5760" w:hanging="360"/>
      </w:pPr>
    </w:lvl>
    <w:lvl w:ilvl="8" w:tplc="ABA696DA">
      <w:start w:val="1"/>
      <w:numFmt w:val="bullet"/>
      <w:lvlText w:val="●"/>
      <w:lvlJc w:val="left"/>
      <w:pPr>
        <w:ind w:left="6480" w:hanging="360"/>
      </w:pPr>
    </w:lvl>
  </w:abstractNum>
  <w:num w:numId="1" w16cid:durableId="16886332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37D"/>
    <w:rsid w:val="00102A8F"/>
    <w:rsid w:val="00647C7C"/>
    <w:rsid w:val="00DF1C6C"/>
    <w:rsid w:val="00F053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5D194C30"/>
  <w15:docId w15:val="{490FECA7-B41C-F248-994A-ECDDEEAC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style>
  <w:style w:type="character" w:customStyle="1" w:styleId="DipnotMetniChar">
    <w:name w:val="Dipnot Metni Char"/>
    <w:link w:val="DipnotMetni"/>
    <w:uiPriority w:val="99"/>
    <w:semiHidden/>
    <w:unhideWhenUsed/>
    <w:rPr>
      <w:sz w:val="20"/>
      <w:szCs w:val="20"/>
    </w:rPr>
  </w:style>
  <w:style w:type="paragraph" w:styleId="stBilgi">
    <w:name w:val="header"/>
    <w:basedOn w:val="Normal"/>
    <w:link w:val="stBilgiChar"/>
    <w:uiPriority w:val="99"/>
    <w:unhideWhenUsed/>
    <w:rsid w:val="00102A8F"/>
    <w:pPr>
      <w:tabs>
        <w:tab w:val="center" w:pos="4536"/>
        <w:tab w:val="right" w:pos="9072"/>
      </w:tabs>
    </w:pPr>
  </w:style>
  <w:style w:type="character" w:customStyle="1" w:styleId="stBilgiChar">
    <w:name w:val="Üst Bilgi Char"/>
    <w:basedOn w:val="VarsaylanParagrafYazTipi"/>
    <w:link w:val="stBilgi"/>
    <w:uiPriority w:val="99"/>
    <w:rsid w:val="00102A8F"/>
  </w:style>
  <w:style w:type="paragraph" w:styleId="AltBilgi">
    <w:name w:val="footer"/>
    <w:basedOn w:val="Normal"/>
    <w:link w:val="AltBilgiChar"/>
    <w:uiPriority w:val="99"/>
    <w:unhideWhenUsed/>
    <w:rsid w:val="00102A8F"/>
    <w:pPr>
      <w:tabs>
        <w:tab w:val="center" w:pos="4536"/>
        <w:tab w:val="right" w:pos="9072"/>
      </w:tabs>
    </w:pPr>
  </w:style>
  <w:style w:type="character" w:customStyle="1" w:styleId="AltBilgiChar">
    <w:name w:val="Alt Bilgi Char"/>
    <w:basedOn w:val="VarsaylanParagrafYazTipi"/>
    <w:link w:val="AltBilgi"/>
    <w:uiPriority w:val="99"/>
    <w:rsid w:val="00102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2970</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Arma Hasar</cp:lastModifiedBy>
  <cp:revision>2</cp:revision>
  <dcterms:created xsi:type="dcterms:W3CDTF">2026-03-15T23:08:00Z</dcterms:created>
  <dcterms:modified xsi:type="dcterms:W3CDTF">2026-03-15T23:09:00Z</dcterms:modified>
</cp:coreProperties>
</file>